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宋体" w:hAnsi="宋体" w:eastAsia="宋体" w:cs="宋体"/>
          <w:b/>
          <w:bCs/>
          <w:sz w:val="36"/>
          <w:szCs w:val="36"/>
          <w:lang w:val="en-US" w:eastAsia="zh-CN"/>
        </w:rPr>
      </w:pPr>
    </w:p>
    <w:p>
      <w:pPr>
        <w:keepNext w:val="0"/>
        <w:keepLines w:val="0"/>
        <w:pageBreakBefore w:val="0"/>
        <w:widowControl w:val="0"/>
        <w:suppressAutoHyphens/>
        <w:kinsoku/>
        <w:wordWrap/>
        <w:overflowPunct/>
        <w:topLinePunct w:val="0"/>
        <w:autoSpaceDE/>
        <w:autoSpaceDN/>
        <w:bidi w:val="0"/>
        <w:adjustRightInd w:val="0"/>
        <w:snapToGrid w:val="0"/>
        <w:ind w:left="0" w:leftChars="0" w:right="0" w:rightChars="0"/>
        <w:jc w:val="center"/>
        <w:textAlignment w:val="auto"/>
        <w:rPr>
          <w:rFonts w:hint="default" w:ascii="宋体" w:hAnsi="宋体" w:eastAsia="宋体" w:cs="宋体"/>
          <w:b/>
          <w:bCs/>
          <w:color w:val="auto"/>
          <w:kern w:val="0"/>
          <w:sz w:val="36"/>
          <w:szCs w:val="36"/>
          <w:lang w:val="en-US" w:eastAsia="zh-CN" w:bidi="ar-SA"/>
        </w:rPr>
      </w:pPr>
      <w:r>
        <w:rPr>
          <w:rFonts w:hint="default" w:ascii="宋体" w:hAnsi="宋体" w:eastAsia="宋体" w:cs="宋体"/>
          <w:b/>
          <w:bCs/>
          <w:color w:val="auto"/>
          <w:kern w:val="0"/>
          <w:sz w:val="36"/>
          <w:szCs w:val="36"/>
          <w:lang w:val="en-US" w:eastAsia="zh-CN" w:bidi="ar-SA"/>
        </w:rPr>
        <w:t>关于进一步发挥资本市场功能 支持受疫情影响严重地区和行业加快恢复发展的通知</w:t>
      </w:r>
    </w:p>
    <w:p>
      <w:pPr>
        <w:keepNext w:val="0"/>
        <w:keepLines w:val="0"/>
        <w:pageBreakBefore w:val="0"/>
        <w:widowControl w:val="0"/>
        <w:suppressAutoHyphens/>
        <w:kinsoku/>
        <w:wordWrap/>
        <w:overflowPunct/>
        <w:topLinePunct w:val="0"/>
        <w:autoSpaceDE/>
        <w:autoSpaceDN/>
        <w:bidi w:val="0"/>
        <w:adjustRightInd w:val="0"/>
        <w:snapToGrid w:val="0"/>
        <w:ind w:left="0" w:leftChars="0" w:right="0" w:rightChars="0"/>
        <w:jc w:val="center"/>
        <w:textAlignment w:val="auto"/>
        <w:rPr>
          <w:rFonts w:hint="eastAsia" w:ascii="楷体_GB2312" w:hAnsi="楷体_GB2312" w:eastAsia="楷体_GB2312" w:cs="楷体_GB2312"/>
          <w:color w:val="auto"/>
          <w:kern w:val="0"/>
          <w:sz w:val="32"/>
          <w:szCs w:val="32"/>
          <w:lang w:val="en-US" w:eastAsia="zh-CN" w:bidi="ar-SA"/>
        </w:rPr>
      </w:pPr>
      <w:bookmarkStart w:id="0" w:name="_GoBack"/>
      <w:bookmarkEnd w:id="0"/>
      <w:r>
        <w:rPr>
          <w:rFonts w:hint="eastAsia" w:ascii="楷体_GB2312" w:hAnsi="楷体_GB2312" w:eastAsia="楷体_GB2312" w:cs="楷体_GB2312"/>
          <w:color w:val="auto"/>
          <w:kern w:val="0"/>
          <w:sz w:val="32"/>
          <w:szCs w:val="32"/>
          <w:lang w:val="en-US" w:eastAsia="zh-CN" w:bidi="ar-SA"/>
        </w:rPr>
        <w:t>证监发[2022]46号</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center"/>
        <w:textAlignment w:val="auto"/>
        <w:rPr>
          <w:rFonts w:hint="eastAsia" w:ascii="楷体_GB2312" w:hAnsi="楷体_GB2312" w:eastAsia="楷体_GB2312" w:cs="楷体_GB2312"/>
          <w:sz w:val="32"/>
          <w:szCs w:val="32"/>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360" w:lineRule="auto"/>
        <w:ind w:right="0" w:rightChars="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中国证监会各派出机构，各交易所，各下属单位，各协会，会内各部门：</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为深入贯彻落实党中央、国务院决策部署，进一步发挥资本市场功能，支持受疫情影响严重地区和行业企业加快恢复发展，现就有关事项通知如下：</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一</w:t>
      </w:r>
      <w:r>
        <w:rPr>
          <w:rFonts w:hint="default" w:ascii="黑体" w:hAnsi="黑体" w:eastAsia="黑体" w:cs="黑体"/>
          <w:color w:val="auto"/>
          <w:kern w:val="0"/>
          <w:sz w:val="32"/>
          <w:szCs w:val="32"/>
          <w:lang w:val="en-US" w:eastAsia="zh-CN" w:bidi="ar-SA"/>
        </w:rPr>
        <w:t>、</w:t>
      </w:r>
      <w:r>
        <w:rPr>
          <w:rFonts w:hint="eastAsia" w:ascii="黑体" w:hAnsi="黑体" w:eastAsia="黑体" w:cs="黑体"/>
          <w:color w:val="auto"/>
          <w:kern w:val="0"/>
          <w:sz w:val="32"/>
          <w:szCs w:val="32"/>
          <w:lang w:val="en-US" w:eastAsia="zh-CN" w:bidi="ar-SA"/>
        </w:rPr>
        <w:t>采取有效手段，加大直接融资支持力度</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1</w:t>
      </w:r>
      <w:r>
        <w:rPr>
          <w:rFonts w:hint="default" w:ascii="仿宋_GB2312" w:hAnsi="仿宋_GB2312" w:eastAsia="仿宋_GB2312" w:cs="仿宋_GB2312"/>
          <w:color w:val="auto"/>
          <w:kern w:val="0"/>
          <w:sz w:val="32"/>
          <w:szCs w:val="32"/>
          <w:lang w:val="en-US" w:eastAsia="zh-CN" w:bidi="ar-SA"/>
        </w:rPr>
        <w:t>.</w:t>
      </w:r>
      <w:r>
        <w:rPr>
          <w:rFonts w:hint="eastAsia" w:ascii="仿宋_GB2312" w:hAnsi="仿宋_GB2312" w:eastAsia="仿宋_GB2312" w:cs="仿宋_GB2312"/>
          <w:color w:val="auto"/>
          <w:kern w:val="0"/>
          <w:sz w:val="32"/>
          <w:szCs w:val="32"/>
          <w:lang w:val="en-US" w:eastAsia="zh-CN" w:bidi="ar-SA"/>
        </w:rPr>
        <w:t>对2022年业绩受疫情影响严重地区和行业申请首发上市的企业，在符合板块定位及发行上市条件的前提下，经中介机构核查情况属实且不对持续盈利能力或持续经营能力构成重大不利影响的，相关审核或注册工作正常推进。2022年年底前对受疫情影响严重地区和行业的上市公司再融资申请实施专人对接、即报即审、审过即发。</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2</w:t>
      </w:r>
      <w:r>
        <w:rPr>
          <w:rFonts w:hint="default" w:ascii="仿宋_GB2312" w:hAnsi="仿宋_GB2312" w:eastAsia="仿宋_GB2312" w:cs="仿宋_GB2312"/>
          <w:color w:val="auto"/>
          <w:kern w:val="0"/>
          <w:sz w:val="32"/>
          <w:szCs w:val="32"/>
          <w:lang w:val="en-US" w:eastAsia="zh-CN" w:bidi="ar-SA"/>
        </w:rPr>
        <w:t>.</w:t>
      </w:r>
      <w:r>
        <w:rPr>
          <w:rFonts w:hint="eastAsia" w:ascii="仿宋_GB2312" w:hAnsi="仿宋_GB2312" w:eastAsia="仿宋_GB2312" w:cs="仿宋_GB2312"/>
          <w:color w:val="auto"/>
          <w:kern w:val="0"/>
          <w:sz w:val="32"/>
          <w:szCs w:val="32"/>
          <w:lang w:val="en-US" w:eastAsia="zh-CN" w:bidi="ar-SA"/>
        </w:rPr>
        <w:t>受疫情影响严重地区和行业企业申请北交所上市、全国股转系统挂牌的，实施专人对接、即报即审、审过即发。受疫情影响严重地区和行业企业发行公司债券、资产证券化产品的，或者债券募集资金用于疫情防控相关领域或用于偿还疫情防控期间到期债券产品的，实施专人对接、即报即审。</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3</w:t>
      </w:r>
      <w:r>
        <w:rPr>
          <w:rFonts w:hint="default" w:ascii="仿宋_GB2312" w:hAnsi="仿宋_GB2312" w:eastAsia="仿宋_GB2312" w:cs="仿宋_GB2312"/>
          <w:color w:val="auto"/>
          <w:kern w:val="0"/>
          <w:sz w:val="32"/>
          <w:szCs w:val="32"/>
          <w:lang w:val="en-US" w:eastAsia="zh-CN" w:bidi="ar-SA"/>
        </w:rPr>
        <w:t>.</w:t>
      </w:r>
      <w:r>
        <w:rPr>
          <w:rFonts w:hint="eastAsia" w:ascii="仿宋_GB2312" w:hAnsi="仿宋_GB2312" w:eastAsia="仿宋_GB2312" w:cs="仿宋_GB2312"/>
          <w:color w:val="auto"/>
          <w:kern w:val="0"/>
          <w:sz w:val="32"/>
          <w:szCs w:val="32"/>
          <w:lang w:val="en-US" w:eastAsia="zh-CN" w:bidi="ar-SA"/>
        </w:rPr>
        <w:t>受疫情影响严重地区和行业上市公司发行股份购买资产申请适用“小额快速”审核机制，在计算交易金额时不再适用最近12个月内累计计算的要求。发行股份购买资产同时募集配套资金的，放宽募集配套资金用于补充流动资金、偿还债务的比例限制。</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4</w:t>
      </w:r>
      <w:r>
        <w:rPr>
          <w:rFonts w:hint="default" w:ascii="仿宋_GB2312" w:hAnsi="仿宋_GB2312" w:eastAsia="仿宋_GB2312" w:cs="仿宋_GB2312"/>
          <w:color w:val="auto"/>
          <w:kern w:val="0"/>
          <w:sz w:val="32"/>
          <w:szCs w:val="32"/>
          <w:lang w:val="en-US" w:eastAsia="zh-CN" w:bidi="ar-SA"/>
        </w:rPr>
        <w:t>.</w:t>
      </w:r>
      <w:r>
        <w:rPr>
          <w:rFonts w:hint="eastAsia" w:ascii="仿宋_GB2312" w:hAnsi="仿宋_GB2312" w:eastAsia="仿宋_GB2312" w:cs="仿宋_GB2312"/>
          <w:color w:val="auto"/>
          <w:kern w:val="0"/>
          <w:sz w:val="32"/>
          <w:szCs w:val="32"/>
          <w:lang w:val="en-US" w:eastAsia="zh-CN" w:bidi="ar-SA"/>
        </w:rPr>
        <w:t>加快公募基金产品特别是权益类基金、抗疫主题基金等产品的审核进度。对受疫情影响严重地区和行业企业相关基金产品的行政许可事项，依法依规给予支持。</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二</w:t>
      </w:r>
      <w:r>
        <w:rPr>
          <w:rFonts w:hint="default" w:ascii="黑体" w:hAnsi="黑体" w:eastAsia="黑体" w:cs="黑体"/>
          <w:color w:val="auto"/>
          <w:kern w:val="0"/>
          <w:sz w:val="32"/>
          <w:szCs w:val="32"/>
          <w:lang w:val="en-US" w:eastAsia="zh-CN" w:bidi="ar-SA"/>
        </w:rPr>
        <w:t>、</w:t>
      </w:r>
      <w:r>
        <w:rPr>
          <w:rFonts w:hint="eastAsia" w:ascii="黑体" w:hAnsi="黑体" w:eastAsia="黑体" w:cs="黑体"/>
          <w:color w:val="auto"/>
          <w:kern w:val="0"/>
          <w:sz w:val="32"/>
          <w:szCs w:val="32"/>
          <w:lang w:val="en-US" w:eastAsia="zh-CN" w:bidi="ar-SA"/>
        </w:rPr>
        <w:t>实施延期展期政策，体现监管弹性</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5</w:t>
      </w:r>
      <w:r>
        <w:rPr>
          <w:rFonts w:hint="default" w:ascii="仿宋_GB2312" w:hAnsi="仿宋_GB2312" w:eastAsia="仿宋_GB2312" w:cs="仿宋_GB2312"/>
          <w:color w:val="auto"/>
          <w:kern w:val="0"/>
          <w:sz w:val="32"/>
          <w:szCs w:val="32"/>
          <w:lang w:val="en-US" w:eastAsia="zh-CN" w:bidi="ar-SA"/>
        </w:rPr>
        <w:t>.</w:t>
      </w:r>
      <w:r>
        <w:rPr>
          <w:rFonts w:hint="eastAsia" w:ascii="仿宋_GB2312" w:hAnsi="仿宋_GB2312" w:eastAsia="仿宋_GB2312" w:cs="仿宋_GB2312"/>
          <w:color w:val="auto"/>
          <w:kern w:val="0"/>
          <w:sz w:val="32"/>
          <w:szCs w:val="32"/>
          <w:lang w:val="en-US" w:eastAsia="zh-CN" w:bidi="ar-SA"/>
        </w:rPr>
        <w:t>受疫情影响严重地区和行业发行人的反馈意见、审核问询回复时限可以延长3个月，告知函回复时限可以延长1个月。对受疫情影响严重地区和行业企业申报发行公司债券和资产证券化产品的，暂缓计算审核阶段反馈意见回复时限、中止时限3个月。</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6</w:t>
      </w:r>
      <w:r>
        <w:rPr>
          <w:rFonts w:hint="default" w:ascii="仿宋_GB2312" w:hAnsi="仿宋_GB2312" w:eastAsia="仿宋_GB2312" w:cs="仿宋_GB2312"/>
          <w:color w:val="auto"/>
          <w:kern w:val="0"/>
          <w:sz w:val="32"/>
          <w:szCs w:val="32"/>
          <w:lang w:val="en-US" w:eastAsia="zh-CN" w:bidi="ar-SA"/>
        </w:rPr>
        <w:t>.</w:t>
      </w:r>
      <w:r>
        <w:rPr>
          <w:rFonts w:hint="eastAsia" w:ascii="仿宋_GB2312" w:hAnsi="仿宋_GB2312" w:eastAsia="仿宋_GB2312" w:cs="仿宋_GB2312"/>
          <w:color w:val="auto"/>
          <w:kern w:val="0"/>
          <w:sz w:val="32"/>
          <w:szCs w:val="32"/>
          <w:lang w:val="en-US" w:eastAsia="zh-CN" w:bidi="ar-SA"/>
        </w:rPr>
        <w:t>受疫情影响严重地区和行业的上市公司并购重组项目确实不能按期更新财务资料或发出股东大会通知的，可以在充分披露疫情对本次重组的具体影响后，申请财务资料有效期延长或股东大会通知时间延期1个月，最多可以延期3次。</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7</w:t>
      </w:r>
      <w:r>
        <w:rPr>
          <w:rFonts w:hint="default" w:ascii="仿宋_GB2312" w:hAnsi="仿宋_GB2312" w:eastAsia="仿宋_GB2312" w:cs="仿宋_GB2312"/>
          <w:color w:val="auto"/>
          <w:kern w:val="0"/>
          <w:sz w:val="32"/>
          <w:szCs w:val="32"/>
          <w:lang w:val="en-US" w:eastAsia="zh-CN" w:bidi="ar-SA"/>
        </w:rPr>
        <w:t>.</w:t>
      </w:r>
      <w:r>
        <w:rPr>
          <w:rFonts w:hint="eastAsia" w:ascii="仿宋_GB2312" w:hAnsi="仿宋_GB2312" w:eastAsia="仿宋_GB2312" w:cs="仿宋_GB2312"/>
          <w:color w:val="auto"/>
          <w:kern w:val="0"/>
          <w:sz w:val="32"/>
          <w:szCs w:val="32"/>
          <w:lang w:val="en-US" w:eastAsia="zh-CN" w:bidi="ar-SA"/>
        </w:rPr>
        <w:t>受疫情影响严重地区和行业的上市公司取得重大资产重组行政许可批文后，可以申请暂缓计算批文有效期，暂缓计算期限最长不超过12个月。</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8</w:t>
      </w:r>
      <w:r>
        <w:rPr>
          <w:rFonts w:hint="default" w:ascii="仿宋_GB2312" w:hAnsi="仿宋_GB2312" w:eastAsia="仿宋_GB2312" w:cs="仿宋_GB2312"/>
          <w:color w:val="auto"/>
          <w:kern w:val="0"/>
          <w:sz w:val="32"/>
          <w:szCs w:val="32"/>
          <w:lang w:val="en-US" w:eastAsia="zh-CN" w:bidi="ar-SA"/>
        </w:rPr>
        <w:t>.</w:t>
      </w:r>
      <w:r>
        <w:rPr>
          <w:rFonts w:hint="eastAsia" w:ascii="仿宋_GB2312" w:hAnsi="仿宋_GB2312" w:eastAsia="仿宋_GB2312" w:cs="仿宋_GB2312"/>
          <w:color w:val="auto"/>
          <w:kern w:val="0"/>
          <w:sz w:val="32"/>
          <w:szCs w:val="32"/>
          <w:lang w:val="en-US" w:eastAsia="zh-CN" w:bidi="ar-SA"/>
        </w:rPr>
        <w:t>支持受疫情影响严重地区的私募基金备案，适当延长管理人首支私募基金备案和信息报送时限，适当放宽私募基金登记备案材料签章要求和部分工商材料要求。</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三</w:t>
      </w:r>
      <w:r>
        <w:rPr>
          <w:rFonts w:hint="default" w:ascii="黑体" w:hAnsi="黑体" w:eastAsia="黑体" w:cs="黑体"/>
          <w:color w:val="auto"/>
          <w:kern w:val="0"/>
          <w:sz w:val="32"/>
          <w:szCs w:val="32"/>
          <w:lang w:val="en-US" w:eastAsia="zh-CN" w:bidi="ar-SA"/>
        </w:rPr>
        <w:t>、</w:t>
      </w:r>
      <w:r>
        <w:rPr>
          <w:rFonts w:hint="eastAsia" w:ascii="黑体" w:hAnsi="黑体" w:eastAsia="黑体" w:cs="黑体"/>
          <w:color w:val="auto"/>
          <w:kern w:val="0"/>
          <w:sz w:val="32"/>
          <w:szCs w:val="32"/>
          <w:lang w:val="en-US" w:eastAsia="zh-CN" w:bidi="ar-SA"/>
        </w:rPr>
        <w:t>优化监管工作安排，传递监管温度</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9</w:t>
      </w:r>
      <w:r>
        <w:rPr>
          <w:rFonts w:hint="default" w:ascii="仿宋_GB2312" w:hAnsi="仿宋_GB2312" w:eastAsia="仿宋_GB2312" w:cs="仿宋_GB2312"/>
          <w:color w:val="auto"/>
          <w:kern w:val="0"/>
          <w:sz w:val="32"/>
          <w:szCs w:val="32"/>
          <w:lang w:val="en-US" w:eastAsia="zh-CN" w:bidi="ar-SA"/>
        </w:rPr>
        <w:t>.</w:t>
      </w:r>
      <w:r>
        <w:rPr>
          <w:rFonts w:hint="eastAsia" w:ascii="仿宋_GB2312" w:hAnsi="仿宋_GB2312" w:eastAsia="仿宋_GB2312" w:cs="仿宋_GB2312"/>
          <w:color w:val="auto"/>
          <w:kern w:val="0"/>
          <w:sz w:val="32"/>
          <w:szCs w:val="32"/>
          <w:lang w:val="en-US" w:eastAsia="zh-CN" w:bidi="ar-SA"/>
        </w:rPr>
        <w:t>通过视频会议等方式，确保发审委会议、重组委会议、上市委会议正常推进。在首发上市、北交所上市、再融资、并购重组等审核或注册过程中落实好电子化、无接触报送、送达工作机制，加强审核部门与发行人、上市公司、中介机构电话沟通、线上咨询的保障机制，高效高质量提供服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发行人、上市公司、中介机构可以通过电子签章方式提交申报材料、问询回复等相关文件。对确受疫情影响、无法统一签名的自然人，可以通过提供签字页电子扫描文档方式办理。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申请发行债券产品的企业，对于确受疫情影响无法及时提交相关签字、盖章文件的，可以视情况先由主承销商出具相关说明，后续补充提交。</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12</w:t>
      </w:r>
      <w:r>
        <w:rPr>
          <w:rFonts w:hint="default" w:ascii="仿宋_GB2312" w:hAnsi="仿宋_GB2312" w:eastAsia="仿宋_GB2312" w:cs="仿宋_GB2312"/>
          <w:color w:val="auto"/>
          <w:kern w:val="0"/>
          <w:sz w:val="32"/>
          <w:szCs w:val="32"/>
          <w:lang w:val="en-US" w:eastAsia="zh-CN" w:bidi="ar-SA"/>
        </w:rPr>
        <w:t>.</w:t>
      </w:r>
      <w:r>
        <w:rPr>
          <w:rFonts w:hint="eastAsia" w:ascii="仿宋_GB2312" w:hAnsi="仿宋_GB2312" w:eastAsia="仿宋_GB2312" w:cs="仿宋_GB2312"/>
          <w:color w:val="auto"/>
          <w:kern w:val="0"/>
          <w:sz w:val="32"/>
          <w:szCs w:val="32"/>
          <w:lang w:val="en-US" w:eastAsia="zh-CN" w:bidi="ar-SA"/>
        </w:rPr>
        <w:t>对受疫情影响严重地区和行业企业，2022年6月底前拟以2021年年报申请首发上市、北交所上市的，如现场走访存在困难，证监局可以借助电子网络手段对辅导验收提前开展预沟通，可以采取非现场验收方式。</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13</w:t>
      </w:r>
      <w:r>
        <w:rPr>
          <w:rFonts w:hint="default" w:ascii="仿宋_GB2312" w:hAnsi="仿宋_GB2312" w:eastAsia="仿宋_GB2312" w:cs="仿宋_GB2312"/>
          <w:color w:val="auto"/>
          <w:kern w:val="0"/>
          <w:sz w:val="32"/>
          <w:szCs w:val="32"/>
          <w:lang w:val="en-US" w:eastAsia="zh-CN" w:bidi="ar-SA"/>
        </w:rPr>
        <w:t>.</w:t>
      </w:r>
      <w:r>
        <w:rPr>
          <w:rFonts w:hint="eastAsia" w:ascii="仿宋_GB2312" w:hAnsi="仿宋_GB2312" w:eastAsia="仿宋_GB2312" w:cs="仿宋_GB2312"/>
          <w:color w:val="auto"/>
          <w:kern w:val="0"/>
          <w:sz w:val="32"/>
          <w:szCs w:val="32"/>
          <w:lang w:val="en-US" w:eastAsia="zh-CN" w:bidi="ar-SA"/>
        </w:rPr>
        <w:t>对受疫情影响严重地区和行业的公开发行证券并上市的企业，2022年上市当年因受疫情影响业绩大幅下滑的，对发行人和相关保荐机构给予适当监管包容。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14</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对受疫情影响严重地区的新设证券基金机构，可以通过线上视频的方式开展现场检查，后续补充核查，支持公司在符合开业条件后尽快取得业务许可证。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15</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对受疫情影响严重地区的证券基金期货经营机构，在保持有效监管的前提下，实施更加灵活的监管安排，包括允许推迟报送相关报表、实行许可备案电子化等。在采取有效措施防范风险和利益冲突并报告证监局后，允许在人员配备、隔离制衡、流程管控等方面灵活安排。</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16</w:t>
      </w:r>
      <w:r>
        <w:rPr>
          <w:rFonts w:hint="default" w:ascii="仿宋_GB2312" w:hAnsi="仿宋_GB2312" w:eastAsia="仿宋_GB2312" w:cs="仿宋_GB2312"/>
          <w:color w:val="auto"/>
          <w:kern w:val="0"/>
          <w:sz w:val="32"/>
          <w:szCs w:val="32"/>
          <w:lang w:val="en-US" w:eastAsia="zh-CN" w:bidi="ar-SA"/>
        </w:rPr>
        <w:t>.</w:t>
      </w:r>
      <w:r>
        <w:rPr>
          <w:rFonts w:hint="eastAsia" w:ascii="仿宋_GB2312" w:hAnsi="仿宋_GB2312" w:eastAsia="仿宋_GB2312" w:cs="仿宋_GB2312"/>
          <w:color w:val="auto"/>
          <w:kern w:val="0"/>
          <w:sz w:val="32"/>
          <w:szCs w:val="32"/>
          <w:lang w:val="en-US" w:eastAsia="zh-CN" w:bidi="ar-SA"/>
        </w:rPr>
        <w:t>优化沪深证券交易所的信息披露业务操作安排，适当延长信息披露直通时段。支持市场主体线上办理业务，支持上市公司召开线上股东大会或债券、资产支持证券持有人会议。律师因疫情影响确实无法现场参会的，可以采取视频等方式见证股东大会、开展簿记建档工作。</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color w:val="auto"/>
          <w:kern w:val="0"/>
          <w:sz w:val="32"/>
          <w:szCs w:val="32"/>
          <w:lang w:val="en-US" w:eastAsia="zh-CN" w:bidi="ar-SA"/>
        </w:rPr>
      </w:pPr>
      <w:r>
        <w:rPr>
          <w:rFonts w:hint="eastAsia" w:ascii="仿宋_GB2312" w:hAnsi="仿宋_GB2312" w:eastAsia="仿宋_GB2312" w:cs="仿宋_GB2312"/>
          <w:b/>
          <w:bCs/>
          <w:color w:val="auto"/>
          <w:kern w:val="0"/>
          <w:sz w:val="32"/>
          <w:szCs w:val="32"/>
          <w:lang w:val="en-US" w:eastAsia="zh-CN" w:bidi="ar-SA"/>
        </w:rPr>
        <w:t>17</w:t>
      </w:r>
      <w:r>
        <w:rPr>
          <w:rFonts w:hint="default" w:ascii="仿宋_GB2312" w:hAnsi="仿宋_GB2312" w:eastAsia="仿宋_GB2312" w:cs="仿宋_GB2312"/>
          <w:b/>
          <w:bCs/>
          <w:color w:val="auto"/>
          <w:kern w:val="0"/>
          <w:sz w:val="32"/>
          <w:szCs w:val="32"/>
          <w:lang w:val="en-US" w:eastAsia="zh-CN" w:bidi="ar-SA"/>
        </w:rPr>
        <w:t>.</w:t>
      </w:r>
      <w:r>
        <w:rPr>
          <w:rFonts w:hint="eastAsia" w:ascii="仿宋_GB2312" w:hAnsi="仿宋_GB2312" w:eastAsia="仿宋_GB2312" w:cs="仿宋_GB2312"/>
          <w:b/>
          <w:bCs/>
          <w:color w:val="auto"/>
          <w:kern w:val="0"/>
          <w:sz w:val="32"/>
          <w:szCs w:val="32"/>
          <w:lang w:val="en-US" w:eastAsia="zh-CN" w:bidi="ar-SA"/>
        </w:rPr>
        <w:t>对参与化解民营企业特别是上市民营企业流动性风险的证券公司，在风控指标计算、私募基金子公司设立和产品备案、分类评级等方面给予监管支持。</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18</w:t>
      </w:r>
      <w:r>
        <w:rPr>
          <w:rFonts w:hint="default" w:ascii="仿宋_GB2312" w:hAnsi="仿宋_GB2312" w:eastAsia="仿宋_GB2312" w:cs="仿宋_GB2312"/>
          <w:color w:val="auto"/>
          <w:kern w:val="0"/>
          <w:sz w:val="32"/>
          <w:szCs w:val="32"/>
          <w:lang w:val="en-US" w:eastAsia="zh-CN" w:bidi="ar-SA"/>
        </w:rPr>
        <w:t>.</w:t>
      </w:r>
      <w:r>
        <w:rPr>
          <w:rFonts w:hint="eastAsia" w:ascii="仿宋_GB2312" w:hAnsi="仿宋_GB2312" w:eastAsia="仿宋_GB2312" w:cs="仿宋_GB2312"/>
          <w:color w:val="auto"/>
          <w:kern w:val="0"/>
          <w:sz w:val="32"/>
          <w:szCs w:val="32"/>
          <w:lang w:val="en-US" w:eastAsia="zh-CN" w:bidi="ar-SA"/>
        </w:rPr>
        <w:t>沪深证券交易所免收上市公司2022年度上市初费、上市年费和股东大会网络投票服务费。北交所免收上市公司2022年上市年费。全国股转公司免收相关地区挂牌公司2022年挂牌初费和年费。中国结算免收相关发行人2022年登记结算费用。各期货交易所减收相关期货经营机构手续费、减免席位费。支持各协会通过免收减收会费、延期交纳会费、免费培训等方式，加大会员服务力度。</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四</w:t>
      </w:r>
      <w:r>
        <w:rPr>
          <w:rFonts w:hint="default" w:ascii="黑体" w:hAnsi="黑体" w:eastAsia="黑体" w:cs="黑体"/>
          <w:color w:val="auto"/>
          <w:kern w:val="0"/>
          <w:sz w:val="32"/>
          <w:szCs w:val="32"/>
          <w:lang w:val="en-US" w:eastAsia="zh-CN" w:bidi="ar-SA"/>
        </w:rPr>
        <w:t>、</w:t>
      </w:r>
      <w:r>
        <w:rPr>
          <w:rFonts w:hint="eastAsia" w:ascii="黑体" w:hAnsi="黑体" w:eastAsia="黑体" w:cs="黑体"/>
          <w:color w:val="auto"/>
          <w:kern w:val="0"/>
          <w:sz w:val="32"/>
          <w:szCs w:val="32"/>
          <w:lang w:val="en-US" w:eastAsia="zh-CN" w:bidi="ar-SA"/>
        </w:rPr>
        <w:t>发挥行业机构作用，助力抗疫和复工复产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19</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鼓励证券公司积极发挥融资中介职能，支持受疫情影响严重地区和行业开展股权融资和债券融资。引导证券公司与股权质押到期还款困难的客户，协商展期3至6个月。对于因疫情防控实施隔离或者接受救治的融资融券客户，尽量减少强制平仓，柔性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w:t>
      </w:r>
      <w:r>
        <w:rPr>
          <w:rFonts w:hint="default"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支持公募基金管理公司践行长期投资、价值投资、责任投资理念，积极以自有资金申购旗下基金产品，积极发挥专业投资者作用，引导更多社会资金流向抗疫相关企业。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21</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鼓励证券公司设立私募资产管理产品，通过私募基金子公司按照市场化、法治化原则设立私募基金产品，对接相关企业融资需求，降低融资成本。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22</w:t>
      </w:r>
      <w:r>
        <w:rPr>
          <w:rFonts w:hint="default"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发挥期货市场作用，发挥期货避险功能，助力受疫情影响严重地区和行业企业风险管理。抓好产业客户培育活动，稳步扩展“期货稳价订单”至沥青、低硫燃料油等能化期货品种。对于在疫情期间服务受疫情影响严重地区和行业的中小微企业表现突出的期货公司，在分类评价中予以加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23</w:t>
      </w:r>
      <w:r>
        <w:rPr>
          <w:rFonts w:hint="default"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持续推动资本市场更多对外开放措施落实落地，及时了解回应境外投资者诉求和关切，保障外资机构同等适用支持政策。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证监会系统各单位、各部门要进一步提高政治站位，切实把思想和行动统一到党中央、国务院决策部署上来，积极开展调研走访，了解市场主体困难和诉求，加强与其他部门的沟通协作，共同帮助企业解决实际问题，扎实推动各项政策落地见效，支持企业克服疫情影响，快速走出困境，实现更好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210" w:rightChars="100"/>
        <w:jc w:val="center"/>
        <w:textAlignment w:val="auto"/>
        <w:rPr>
          <w:rFonts w:hint="default" w:ascii="仿宋_GB2312" w:hAnsi="仿宋_GB2312" w:eastAsia="仿宋_GB2312" w:cs="仿宋_GB2312"/>
          <w:sz w:val="32"/>
          <w:szCs w:val="32"/>
          <w:lang w:eastAsia="zh-CN"/>
        </w:rPr>
      </w:pPr>
      <w:r>
        <w:rPr>
          <w:rFonts w:hint="default" w:ascii="仿宋_GB2312" w:hAnsi="仿宋_GB2312" w:eastAsia="仿宋_GB2312" w:cs="仿宋_GB2312"/>
          <w:sz w:val="32"/>
          <w:szCs w:val="32"/>
          <w:lang w:eastAsia="zh-CN"/>
        </w:rPr>
        <w:t>中国证券监督管理委员会</w:t>
      </w:r>
    </w:p>
    <w:p>
      <w:pPr>
        <w:keepNext w:val="0"/>
        <w:keepLines w:val="0"/>
        <w:pageBreakBefore w:val="0"/>
        <w:widowControl w:val="0"/>
        <w:kinsoku/>
        <w:wordWrap/>
        <w:overflowPunct/>
        <w:topLinePunct w:val="0"/>
        <w:autoSpaceDE/>
        <w:autoSpaceDN/>
        <w:bidi w:val="0"/>
        <w:adjustRightInd/>
        <w:snapToGrid/>
        <w:spacing w:line="240" w:lineRule="auto"/>
        <w:ind w:right="210" w:rightChars="100"/>
        <w:jc w:val="center"/>
        <w:textAlignment w:val="auto"/>
        <w:rPr>
          <w:rFonts w:hint="default" w:ascii="仿宋_GB2312" w:hAnsi="仿宋_GB2312" w:eastAsia="仿宋_GB2312" w:cs="仿宋_GB2312"/>
          <w:sz w:val="32"/>
          <w:szCs w:val="32"/>
          <w:lang w:eastAsia="zh-CN"/>
        </w:rPr>
      </w:pPr>
      <w:r>
        <w:rPr>
          <w:rFonts w:hint="default" w:ascii="仿宋_GB2312" w:hAnsi="仿宋_GB2312" w:eastAsia="仿宋_GB2312" w:cs="仿宋_GB2312"/>
          <w:sz w:val="32"/>
          <w:szCs w:val="32"/>
          <w:lang w:eastAsia="zh-CN"/>
        </w:rPr>
        <w:t>2022年5月20日</w:t>
      </w:r>
    </w:p>
    <w:sectPr>
      <w:pgSz w:w="12240" w:h="15840"/>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doNotExpandShiftReturn/>
    <w:useFELayout/>
    <w:splitPgBreakAndParaMark/>
    <w:compatSetting w:name="compatibilityMode" w:uri="http://schemas.microsoft.com/office/word" w:val="12"/>
  </w:compat>
  <w:rsids>
    <w:rsidRoot w:val="00000000"/>
    <w:rsid w:val="149FA8EA"/>
    <w:rsid w:val="216773A7"/>
    <w:rsid w:val="27DB11BF"/>
    <w:rsid w:val="6AF8040C"/>
    <w:rsid w:val="6DFF3090"/>
    <w:rsid w:val="75F93E94"/>
    <w:rsid w:val="76FD4381"/>
    <w:rsid w:val="77F754FE"/>
    <w:rsid w:val="7DDFB7D2"/>
    <w:rsid w:val="7F67D51E"/>
    <w:rsid w:val="99BE2721"/>
    <w:rsid w:val="BDF98E45"/>
    <w:rsid w:val="BFFF51EA"/>
    <w:rsid w:val="F7F1F7E5"/>
    <w:rsid w:val="FBD1AD7C"/>
    <w:rsid w:val="FEC7C4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50</TotalTime>
  <ScaleCrop>false</ScaleCrop>
  <LinksUpToDate>false</LinksUpToDate>
  <Application>WPS Office_11.8.2.10659_F1E327BC-269C-435d-A152-05C5408002CA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2022-06-14T09:51:00Z</dcterms:created>
  <dc:creator>user</dc:creator>
  <cp:lastModifiedBy>王姜冬：处内起草</cp:lastModifiedBy>
  <dcterms:modified xsi:type="dcterms:W3CDTF">2022-06-15T15:08:06Z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2052-11.8.2.10659</vt:lpwstr>
  </property>
</Properties>
</file>